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10DE2AA5" w:rsidR="009F4EF3" w:rsidRDefault="00933B8A" w:rsidP="009F4EF3">
      <w:pPr>
        <w:jc w:val="center"/>
        <w:rPr>
          <w:rFonts w:ascii="Calibri" w:hAnsi="Calibri"/>
          <w:sz w:val="22"/>
          <w:szCs w:val="22"/>
        </w:rPr>
      </w:pPr>
      <w:r>
        <w:rPr>
          <w:rFonts w:ascii="Calibri" w:hAnsi="Calibri"/>
          <w:b/>
          <w:szCs w:val="22"/>
        </w:rPr>
        <w:t>„</w:t>
      </w:r>
      <w:r w:rsidR="00B72EA6">
        <w:rPr>
          <w:rFonts w:cs="Calibri"/>
          <w:b/>
        </w:rPr>
        <w:t>BČOV – linka na hašení a dávkování vápna</w:t>
      </w:r>
      <w:r w:rsidR="000746EA">
        <w:rPr>
          <w:rFonts w:cs="Calibri"/>
          <w:b/>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 xml:space="preserve">sídlo: Pardubice - </w:t>
      </w:r>
      <w:proofErr w:type="gramStart"/>
      <w:r w:rsidRPr="00F503C2">
        <w:rPr>
          <w:rFonts w:ascii="Calibri" w:hAnsi="Calibri"/>
          <w:sz w:val="22"/>
          <w:szCs w:val="22"/>
        </w:rPr>
        <w:t>Zelené</w:t>
      </w:r>
      <w:proofErr w:type="gramEnd"/>
      <w:r w:rsidRPr="00F503C2">
        <w:rPr>
          <w:rFonts w:ascii="Calibri" w:hAnsi="Calibri"/>
          <w:sz w:val="22"/>
          <w:szCs w:val="22"/>
        </w:rPr>
        <w:t xml:space="preserve">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proofErr w:type="gramStart"/>
      <w:r w:rsidRPr="00F503C2">
        <w:rPr>
          <w:rFonts w:ascii="Calibri" w:hAnsi="Calibri"/>
          <w:sz w:val="22"/>
          <w:szCs w:val="22"/>
        </w:rPr>
        <w:t xml:space="preserve">telefon: </w:t>
      </w:r>
      <w:r w:rsidR="00767DDB" w:rsidRPr="00F503C2">
        <w:rPr>
          <w:rFonts w:ascii="Calibri" w:hAnsi="Calibri"/>
          <w:sz w:val="22"/>
          <w:szCs w:val="22"/>
        </w:rPr>
        <w:t xml:space="preserve">  </w:t>
      </w:r>
      <w:proofErr w:type="gramEnd"/>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proofErr w:type="spellStart"/>
      <w:r w:rsidRPr="00F503C2">
        <w:rPr>
          <w:rFonts w:ascii="Calibri" w:hAnsi="Calibri"/>
          <w:bCs/>
          <w:sz w:val="22"/>
          <w:szCs w:val="22"/>
        </w:rPr>
        <w:t>Mgr.Tomáš</w:t>
      </w:r>
      <w:proofErr w:type="spellEnd"/>
      <w:r w:rsidRPr="00F503C2">
        <w:rPr>
          <w:rFonts w:ascii="Calibri" w:hAnsi="Calibri"/>
          <w:bCs/>
          <w:sz w:val="22"/>
          <w:szCs w:val="22"/>
        </w:rPr>
        <w:t xml:space="preserve"> Prorok</w:t>
      </w:r>
      <w:r w:rsidR="00026EE8">
        <w:rPr>
          <w:rFonts w:ascii="Calibri" w:hAnsi="Calibri"/>
          <w:bCs/>
          <w:sz w:val="22"/>
          <w:szCs w:val="22"/>
        </w:rPr>
        <w:t>,</w:t>
      </w:r>
      <w:r w:rsidRPr="00F503C2">
        <w:rPr>
          <w:rFonts w:ascii="Calibri" w:hAnsi="Calibri"/>
          <w:bCs/>
          <w:sz w:val="22"/>
          <w:szCs w:val="22"/>
        </w:rPr>
        <w:t xml:space="preserve"> </w:t>
      </w:r>
      <w:proofErr w:type="gramStart"/>
      <w:r w:rsidRPr="00F503C2">
        <w:rPr>
          <w:rFonts w:ascii="Calibri" w:hAnsi="Calibri"/>
          <w:bCs/>
          <w:sz w:val="22"/>
          <w:szCs w:val="22"/>
        </w:rPr>
        <w:t>MBA - vedoucí</w:t>
      </w:r>
      <w:proofErr w:type="gramEnd"/>
      <w:r w:rsidRPr="00F503C2">
        <w:rPr>
          <w:rFonts w:ascii="Calibri" w:hAnsi="Calibri"/>
          <w:bCs/>
          <w:sz w:val="22"/>
          <w:szCs w:val="22"/>
        </w:rPr>
        <w:t xml:space="preserve"> </w:t>
      </w:r>
      <w:proofErr w:type="spellStart"/>
      <w:r w:rsidR="009F4EF3" w:rsidRPr="00F503C2">
        <w:rPr>
          <w:rFonts w:ascii="Calibri" w:hAnsi="Calibri"/>
          <w:bCs/>
          <w:sz w:val="22"/>
          <w:szCs w:val="22"/>
        </w:rPr>
        <w:t>technicko-investičního</w:t>
      </w:r>
      <w:proofErr w:type="spellEnd"/>
      <w:r w:rsidR="009F4EF3" w:rsidRPr="00F503C2">
        <w:rPr>
          <w:rFonts w:ascii="Calibri" w:hAnsi="Calibri"/>
          <w:bCs/>
          <w:sz w:val="22"/>
          <w:szCs w:val="22"/>
        </w:rPr>
        <w:t xml:space="preserve">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45705B32"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B72EA6">
        <w:rPr>
          <w:rFonts w:ascii="Calibri" w:hAnsi="Calibri"/>
          <w:b/>
          <w:sz w:val="22"/>
          <w:szCs w:val="22"/>
        </w:rPr>
        <w:t>Ing. Jiří Ježek</w:t>
      </w:r>
      <w:r w:rsidR="0008296E">
        <w:rPr>
          <w:rFonts w:ascii="Calibri" w:hAnsi="Calibri"/>
          <w:b/>
          <w:sz w:val="22"/>
          <w:szCs w:val="22"/>
        </w:rPr>
        <w:t xml:space="preserve"> (</w:t>
      </w:r>
      <w:r w:rsidR="00B72EA6">
        <w:rPr>
          <w:rFonts w:ascii="Calibri" w:hAnsi="Calibri"/>
          <w:b/>
          <w:sz w:val="22"/>
          <w:szCs w:val="22"/>
        </w:rPr>
        <w:t>jiri.jezek</w:t>
      </w:r>
      <w:r w:rsidR="000626C9">
        <w:rPr>
          <w:rFonts w:ascii="Calibri" w:hAnsi="Calibri"/>
          <w:b/>
          <w:sz w:val="22"/>
          <w:szCs w:val="22"/>
        </w:rPr>
        <w:t>@vakpce.cz,</w:t>
      </w:r>
      <w:r w:rsidR="00953850">
        <w:rPr>
          <w:rFonts w:ascii="Calibri" w:hAnsi="Calibri"/>
          <w:b/>
          <w:sz w:val="22"/>
          <w:szCs w:val="22"/>
        </w:rPr>
        <w:t xml:space="preserve"> </w:t>
      </w:r>
      <w:r w:rsidR="00B72EA6">
        <w:rPr>
          <w:rFonts w:ascii="Calibri" w:hAnsi="Calibri"/>
          <w:b/>
          <w:sz w:val="22"/>
          <w:szCs w:val="22"/>
        </w:rPr>
        <w:t>775 887 561</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roofErr w:type="gramStart"/>
      <w:r w:rsidRPr="00F503C2">
        <w:rPr>
          <w:rFonts w:ascii="Calibri" w:hAnsi="Calibri"/>
          <w:b/>
          <w:sz w:val="22"/>
          <w:szCs w:val="22"/>
          <w:highlight w:val="yellow"/>
        </w:rPr>
        <w:t>…….</w:t>
      </w:r>
      <w:proofErr w:type="gramEnd"/>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w:t>
      </w:r>
      <w:proofErr w:type="gramStart"/>
      <w:r w:rsidRPr="00F503C2">
        <w:rPr>
          <w:rFonts w:ascii="Calibri" w:hAnsi="Calibri" w:cs="Arial"/>
          <w:sz w:val="22"/>
          <w:szCs w:val="22"/>
        </w:rPr>
        <w:t xml:space="preserve">spojení: </w:t>
      </w:r>
      <w:r w:rsidR="00F503C2">
        <w:rPr>
          <w:rFonts w:ascii="Calibri" w:hAnsi="Calibri" w:cs="Arial"/>
          <w:sz w:val="22"/>
          <w:szCs w:val="22"/>
        </w:rPr>
        <w:t xml:space="preserve">  </w:t>
      </w:r>
      <w:proofErr w:type="gramEnd"/>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w:t>
      </w:r>
      <w:proofErr w:type="gramStart"/>
      <w:r w:rsidRPr="00F503C2">
        <w:rPr>
          <w:rFonts w:ascii="Calibri" w:hAnsi="Calibri" w:cs="Arial"/>
          <w:sz w:val="22"/>
          <w:szCs w:val="22"/>
        </w:rPr>
        <w:t xml:space="preserve">účtu: </w:t>
      </w:r>
      <w:r w:rsidR="00F503C2">
        <w:rPr>
          <w:rFonts w:ascii="Calibri" w:hAnsi="Calibri" w:cs="Arial"/>
          <w:sz w:val="22"/>
          <w:szCs w:val="22"/>
        </w:rPr>
        <w:t xml:space="preserve">  </w:t>
      </w:r>
      <w:proofErr w:type="gramEnd"/>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proofErr w:type="gramStart"/>
      <w:r w:rsidRPr="00F503C2">
        <w:rPr>
          <w:rFonts w:ascii="Calibri" w:hAnsi="Calibri" w:cs="Arial"/>
          <w:sz w:val="22"/>
          <w:szCs w:val="22"/>
        </w:rPr>
        <w:t>telefon:</w:t>
      </w:r>
      <w:r w:rsidR="00F503C2">
        <w:rPr>
          <w:rFonts w:ascii="Calibri" w:hAnsi="Calibri" w:cs="Arial"/>
          <w:sz w:val="22"/>
          <w:szCs w:val="22"/>
        </w:rPr>
        <w:t xml:space="preserve">   </w:t>
      </w:r>
      <w:proofErr w:type="gramEnd"/>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05738ED4" w:rsidR="009F4EF3" w:rsidRPr="0000160A" w:rsidRDefault="009F4EF3" w:rsidP="00D72CFD">
      <w:pPr>
        <w:autoSpaceDE w:val="0"/>
        <w:autoSpaceDN w:val="0"/>
        <w:adjustRightInd w:val="0"/>
        <w:jc w:val="both"/>
        <w:rPr>
          <w:rFonts w:ascii="Calibri" w:hAnsi="Calibri"/>
        </w:rPr>
      </w:pPr>
      <w:r>
        <w:rPr>
          <w:rFonts w:ascii="Calibri" w:hAnsi="Calibri"/>
          <w:szCs w:val="22"/>
        </w:rPr>
        <w:t xml:space="preserve">2/ Dílem se pro účely této smlouvy rozumí </w:t>
      </w:r>
      <w:r w:rsidR="00B72EA6" w:rsidRPr="008613FE">
        <w:rPr>
          <w:rFonts w:ascii="Calibri" w:hAnsi="Calibri"/>
        </w:rPr>
        <w:t>kompletní výměn</w:t>
      </w:r>
      <w:r w:rsidR="00B72EA6">
        <w:rPr>
          <w:rFonts w:ascii="Calibri" w:hAnsi="Calibri"/>
        </w:rPr>
        <w:t>a</w:t>
      </w:r>
      <w:r w:rsidR="00B72EA6" w:rsidRPr="008613FE">
        <w:rPr>
          <w:rFonts w:ascii="Calibri" w:hAnsi="Calibri"/>
        </w:rPr>
        <w:t xml:space="preserve"> technologické elektroinstalace skladování nehašeného vápna, jeho hašení, dopravu do sil a do neutralizace a míchání vápenného mléka v zásobnících</w:t>
      </w:r>
      <w:r w:rsidR="00260924">
        <w:rPr>
          <w:rFonts w:ascii="Calibri" w:hAnsi="Calibri"/>
          <w:szCs w:val="22"/>
        </w:rPr>
        <w:t>,</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r w:rsidR="00B72EA6">
        <w:rPr>
          <w:rFonts w:ascii="Calibri" w:hAnsi="Calibri"/>
          <w:szCs w:val="22"/>
        </w:rPr>
        <w:t>PROTECO, s</w:t>
      </w:r>
      <w:r w:rsidR="0076277D">
        <w:rPr>
          <w:rFonts w:ascii="Calibri" w:hAnsi="Calibri"/>
          <w:szCs w:val="22"/>
        </w:rPr>
        <w:t>.r.o</w:t>
      </w:r>
      <w:r w:rsidR="00094CE9">
        <w:rPr>
          <w:rFonts w:ascii="Calibri" w:hAnsi="Calibri"/>
          <w:szCs w:val="22"/>
        </w:rPr>
        <w:t>.</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lastRenderedPageBreak/>
        <w:t>4/ Součástí předmětu smlouvy je též zhotovení další potřebné dokumentace, dílenských a konstrukčních výkresů, pokud jsou k provedení díla zapotřebí, provedení veškerých zkoušek, 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 xml:space="preserve">9/ Součástí předmětu smlouvy je zhotovení projektové dokumentace skutečného provedení (v podrobnostech realizační projektové dokumentace) v listinné (3 </w:t>
      </w:r>
      <w:proofErr w:type="spellStart"/>
      <w:r>
        <w:rPr>
          <w:rFonts w:ascii="Calibri" w:hAnsi="Calibri"/>
          <w:szCs w:val="22"/>
        </w:rPr>
        <w:t>paré</w:t>
      </w:r>
      <w:proofErr w:type="spellEnd"/>
      <w:r>
        <w:rPr>
          <w:rFonts w:ascii="Calibri" w:hAnsi="Calibri"/>
          <w:szCs w:val="22"/>
        </w:rPr>
        <w:t xml:space="preserve">) a digitální podobě ve formátu </w:t>
      </w:r>
      <w:proofErr w:type="spellStart"/>
      <w:r>
        <w:rPr>
          <w:rFonts w:ascii="Calibri" w:hAnsi="Calibri"/>
          <w:szCs w:val="22"/>
        </w:rPr>
        <w:t>dwg</w:t>
      </w:r>
      <w:proofErr w:type="spellEnd"/>
      <w:r>
        <w:rPr>
          <w:rFonts w:ascii="Calibri" w:hAnsi="Calibri"/>
          <w:szCs w:val="22"/>
        </w:rPr>
        <w:t xml:space="preserve"> a </w:t>
      </w:r>
      <w:proofErr w:type="spellStart"/>
      <w:r>
        <w:rPr>
          <w:rFonts w:ascii="Calibri" w:hAnsi="Calibri"/>
          <w:szCs w:val="22"/>
        </w:rPr>
        <w:t>pdf</w:t>
      </w:r>
      <w:proofErr w:type="spellEnd"/>
      <w:r>
        <w:rPr>
          <w:rFonts w:ascii="Calibri" w:hAnsi="Calibri"/>
          <w:szCs w:val="22"/>
        </w:rPr>
        <w:t>.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lastRenderedPageBreak/>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0F0DF5B2"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 xml:space="preserve">ermín zahájení </w:t>
      </w:r>
      <w:r w:rsidR="00B72EA6">
        <w:rPr>
          <w:rFonts w:ascii="Calibri" w:hAnsi="Calibri"/>
          <w:szCs w:val="22"/>
        </w:rPr>
        <w:t>díla</w:t>
      </w:r>
      <w:r>
        <w:rPr>
          <w:rFonts w:ascii="Calibri" w:hAnsi="Calibri"/>
          <w:szCs w:val="22"/>
        </w:rPr>
        <w:t>:</w:t>
      </w:r>
      <w:r>
        <w:rPr>
          <w:rFonts w:ascii="Calibri" w:hAnsi="Calibri"/>
          <w:szCs w:val="22"/>
        </w:rPr>
        <w:tab/>
      </w:r>
      <w:r w:rsidR="00953850">
        <w:rPr>
          <w:rFonts w:ascii="Calibri" w:hAnsi="Calibri"/>
          <w:szCs w:val="22"/>
        </w:rPr>
        <w:t>1.</w:t>
      </w:r>
      <w:r w:rsidR="00B72EA6">
        <w:rPr>
          <w:rFonts w:ascii="Calibri" w:hAnsi="Calibri"/>
          <w:szCs w:val="22"/>
        </w:rPr>
        <w:t>8</w:t>
      </w:r>
      <w:r w:rsidR="00682E62">
        <w:rPr>
          <w:rFonts w:ascii="Calibri" w:hAnsi="Calibri"/>
          <w:szCs w:val="22"/>
        </w:rPr>
        <w:t>.</w:t>
      </w:r>
      <w:r w:rsidR="00063264">
        <w:rPr>
          <w:rFonts w:ascii="Calibri" w:hAnsi="Calibri"/>
          <w:szCs w:val="22"/>
        </w:rPr>
        <w:t>202</w:t>
      </w:r>
      <w:r w:rsidR="0029198F">
        <w:rPr>
          <w:rFonts w:ascii="Calibri" w:hAnsi="Calibri"/>
          <w:szCs w:val="22"/>
        </w:rPr>
        <w:t>5</w:t>
      </w:r>
    </w:p>
    <w:p w14:paraId="12B1C7EE" w14:textId="6C4E6291" w:rsidR="009F4EF3" w:rsidRDefault="009F4EF3" w:rsidP="009F4EF3">
      <w:pPr>
        <w:jc w:val="both"/>
        <w:rPr>
          <w:rFonts w:ascii="Calibri" w:hAnsi="Calibri"/>
          <w:szCs w:val="22"/>
        </w:rPr>
      </w:pPr>
    </w:p>
    <w:p w14:paraId="494FA544" w14:textId="39663F01"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29198F">
        <w:rPr>
          <w:rFonts w:ascii="Calibri" w:hAnsi="Calibri"/>
          <w:szCs w:val="22"/>
        </w:rPr>
        <w:t>3</w:t>
      </w:r>
      <w:r w:rsidR="00B36DBC">
        <w:rPr>
          <w:rFonts w:ascii="Calibri" w:hAnsi="Calibri"/>
          <w:szCs w:val="22"/>
        </w:rPr>
        <w:t>1.12</w:t>
      </w:r>
      <w:r w:rsidR="0029198F">
        <w:rPr>
          <w:rFonts w:ascii="Calibri" w:hAnsi="Calibri"/>
          <w:szCs w:val="22"/>
        </w:rPr>
        <w:t>.2025</w:t>
      </w:r>
    </w:p>
    <w:p w14:paraId="0F83F733" w14:textId="77777777" w:rsidR="009F4EF3" w:rsidRDefault="009F4EF3" w:rsidP="009F4EF3">
      <w:pPr>
        <w:tabs>
          <w:tab w:val="right" w:pos="9180"/>
        </w:tabs>
        <w:jc w:val="both"/>
        <w:rPr>
          <w:rFonts w:ascii="Calibri" w:hAnsi="Calibri"/>
          <w:szCs w:val="22"/>
        </w:rPr>
      </w:pPr>
    </w:p>
    <w:p w14:paraId="54AF1CAB" w14:textId="0EEAF7F1" w:rsidR="009F4EF3" w:rsidRDefault="009F4EF3" w:rsidP="009F4EF3">
      <w:pPr>
        <w:tabs>
          <w:tab w:val="right" w:pos="9180"/>
        </w:tabs>
        <w:jc w:val="both"/>
        <w:rPr>
          <w:rFonts w:ascii="Calibri" w:hAnsi="Calibri"/>
          <w:szCs w:val="22"/>
        </w:rPr>
      </w:pPr>
      <w:r>
        <w:rPr>
          <w:rFonts w:ascii="Calibri" w:hAnsi="Calibri"/>
          <w:b/>
          <w:szCs w:val="22"/>
        </w:rPr>
        <w:t xml:space="preserve">Zhotovitel se zavazuje </w:t>
      </w:r>
      <w:proofErr w:type="gramStart"/>
      <w:r>
        <w:rPr>
          <w:rFonts w:ascii="Calibri" w:hAnsi="Calibri"/>
          <w:b/>
          <w:szCs w:val="22"/>
        </w:rPr>
        <w:t>zahájit  práce</w:t>
      </w:r>
      <w:proofErr w:type="gramEnd"/>
      <w:r>
        <w:rPr>
          <w:rFonts w:ascii="Calibri" w:hAnsi="Calibri"/>
          <w:b/>
          <w:szCs w:val="22"/>
        </w:rPr>
        <w:t xml:space="preserve"> do jednoho týdne ode dne převzetí staveniště od objednatele</w:t>
      </w:r>
      <w:r>
        <w:rPr>
          <w:rFonts w:ascii="Calibri" w:hAnsi="Calibri"/>
          <w:szCs w:val="22"/>
        </w:rPr>
        <w:t>.</w:t>
      </w:r>
    </w:p>
    <w:p w14:paraId="5CEBAE5A" w14:textId="77777777" w:rsidR="009F4EF3" w:rsidRDefault="009F4EF3" w:rsidP="009F4EF3">
      <w:pPr>
        <w:tabs>
          <w:tab w:val="right" w:pos="9180"/>
        </w:tabs>
        <w:jc w:val="both"/>
        <w:rPr>
          <w:rFonts w:ascii="Calibri" w:hAnsi="Calibri"/>
          <w:szCs w:val="22"/>
        </w:rPr>
      </w:pPr>
    </w:p>
    <w:p w14:paraId="0394C01E" w14:textId="63E1B0E5" w:rsidR="009F4EF3" w:rsidRDefault="009F4EF3" w:rsidP="00B36DBC">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B72EA6">
        <w:rPr>
          <w:rFonts w:ascii="Calibri" w:hAnsi="Calibri"/>
        </w:rPr>
        <w:t>areál BČOV Pardubice, Rybitví</w:t>
      </w: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proofErr w:type="gramStart"/>
      <w:r>
        <w:rPr>
          <w:rFonts w:ascii="Calibri" w:hAnsi="Calibri"/>
          <w:b/>
          <w:szCs w:val="22"/>
          <w:highlight w:val="yellow"/>
        </w:rPr>
        <w:t>…</w:t>
      </w:r>
      <w:r>
        <w:rPr>
          <w:rFonts w:ascii="Calibri" w:hAnsi="Calibri"/>
          <w:b/>
          <w:szCs w:val="22"/>
        </w:rPr>
        <w:t>,-</w:t>
      </w:r>
      <w:proofErr w:type="gramEnd"/>
      <w:r>
        <w:rPr>
          <w:rFonts w:ascii="Calibri" w:hAnsi="Calibri"/>
          <w:b/>
          <w:szCs w:val="22"/>
        </w:rPr>
        <w:t xml:space="preserve">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32F60F33"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lastRenderedPageBreak/>
        <w:t>3/ Cena díla zahrnuje veškeré práce, dodávky a služby související s provedením předmětu díla v rozsahu dle čl. II. této smlouvy. Cena díla je doložena oceněným soupisem stavebních prací, dodávek a služeb (doplněným položkovým rozpočtem), který je Přílohou č. 3 této smlouvy a tvoří součást nabídky zhotovitele podané do zakázky „</w:t>
      </w:r>
      <w:r w:rsidR="00B72EA6">
        <w:rPr>
          <w:rFonts w:ascii="Calibri" w:hAnsi="Calibri"/>
          <w:szCs w:val="22"/>
        </w:rPr>
        <w:t>BČOV – linka na hašení a dávkování vápna</w:t>
      </w:r>
      <w:r>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lastRenderedPageBreak/>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 xml:space="preserve">za </w:t>
      </w:r>
      <w:proofErr w:type="gramStart"/>
      <w:r w:rsidRPr="00965347">
        <w:rPr>
          <w:rFonts w:ascii="Calibri" w:hAnsi="Calibri"/>
          <w:bCs/>
        </w:rPr>
        <w:t>každý</w:t>
      </w:r>
      <w:proofErr w:type="gramEnd"/>
      <w:r w:rsidRPr="00965347">
        <w:rPr>
          <w:rFonts w:ascii="Calibri" w:hAnsi="Calibri"/>
          <w:bCs/>
        </w:rPr>
        <w:t xml:space="preserve">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lastRenderedPageBreak/>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w:t>
      </w:r>
      <w:proofErr w:type="gramStart"/>
      <w:r w:rsidRPr="005C5AF8">
        <w:rPr>
          <w:rFonts w:ascii="Calibri" w:hAnsi="Calibri"/>
          <w:bCs/>
        </w:rPr>
        <w:t>každý</w:t>
      </w:r>
      <w:proofErr w:type="gramEnd"/>
      <w:r w:rsidRPr="005C5AF8">
        <w:rPr>
          <w:rFonts w:ascii="Calibri" w:hAnsi="Calibri"/>
          <w:bCs/>
        </w:rPr>
        <w:t xml:space="preserve">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11/ Smluvní pokuta je splatná do 15 dnů od doručení písemného oznámení objednatele o uložení smluvní pokuty zhotoviteli. Oznámení o uložení smluvní pokuty musí vždy obsahovat popis a časové určení události porušení podmínek Smlouvy o dílo, na </w:t>
      </w:r>
      <w:proofErr w:type="gramStart"/>
      <w:r w:rsidRPr="005C5AF8">
        <w:rPr>
          <w:rFonts w:ascii="Calibri" w:hAnsi="Calibri"/>
          <w:bCs/>
        </w:rPr>
        <w:t>základě</w:t>
      </w:r>
      <w:proofErr w:type="gramEnd"/>
      <w:r w:rsidRPr="005C5AF8">
        <w:rPr>
          <w:rFonts w:ascii="Calibri" w:hAnsi="Calibri"/>
          <w:bCs/>
        </w:rPr>
        <w:t xml:space="preserve">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1C20B8C8"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543BBD">
        <w:rPr>
          <w:rFonts w:ascii="Calibri" w:hAnsi="Calibri"/>
          <w:bCs/>
        </w:rPr>
        <w:t>Stavební povolení (bylo-li vydáno)</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roofErr w:type="gramStart"/>
            <w:r w:rsidRPr="005C5AF8">
              <w:rPr>
                <w:rFonts w:ascii="Calibri" w:hAnsi="Calibri"/>
                <w:bCs/>
              </w:rPr>
              <w:t>…….</w:t>
            </w:r>
            <w:proofErr w:type="gramEnd"/>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roofErr w:type="gramStart"/>
            <w:r w:rsidRPr="005C5AF8">
              <w:rPr>
                <w:rFonts w:ascii="Calibri" w:hAnsi="Calibri"/>
                <w:bCs/>
              </w:rPr>
              <w:t>…….</w:t>
            </w:r>
            <w:proofErr w:type="gramEnd"/>
            <w:r w:rsidRPr="005C5AF8">
              <w:rPr>
                <w:rFonts w:ascii="Calibri" w:hAnsi="Calibri"/>
                <w:bCs/>
              </w:rPr>
              <w:t>.………………</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1"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19"/>
  </w:num>
  <w:num w:numId="2" w16cid:durableId="1405107491">
    <w:abstractNumId w:val="20"/>
  </w:num>
  <w:num w:numId="3" w16cid:durableId="848183380">
    <w:abstractNumId w:val="20"/>
    <w:lvlOverride w:ilvl="0">
      <w:startOverride w:val="1"/>
    </w:lvlOverride>
  </w:num>
  <w:num w:numId="4" w16cid:durableId="1276327965">
    <w:abstractNumId w:val="19"/>
    <w:lvlOverride w:ilvl="0">
      <w:startOverride w:val="1"/>
    </w:lvlOverride>
  </w:num>
  <w:num w:numId="5" w16cid:durableId="222376169">
    <w:abstractNumId w:val="22"/>
  </w:num>
  <w:num w:numId="6" w16cid:durableId="1072657837">
    <w:abstractNumId w:val="17"/>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3"/>
  </w:num>
  <w:num w:numId="13" w16cid:durableId="1823042158">
    <w:abstractNumId w:val="18"/>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1"/>
  </w:num>
  <w:num w:numId="23" w16cid:durableId="2132047202">
    <w:abstractNumId w:val="3"/>
  </w:num>
  <w:num w:numId="24" w16cid:durableId="1862742782">
    <w:abstractNumId w:val="13"/>
  </w:num>
  <w:num w:numId="25" w16cid:durableId="1316421780">
    <w:abstractNumId w:val="8"/>
  </w:num>
  <w:num w:numId="26" w16cid:durableId="82997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0160A"/>
    <w:rsid w:val="00026EE8"/>
    <w:rsid w:val="00041A80"/>
    <w:rsid w:val="00061C65"/>
    <w:rsid w:val="000626C9"/>
    <w:rsid w:val="00063264"/>
    <w:rsid w:val="000746EA"/>
    <w:rsid w:val="0008296E"/>
    <w:rsid w:val="00083AED"/>
    <w:rsid w:val="00094CE9"/>
    <w:rsid w:val="000C3F66"/>
    <w:rsid w:val="000C77B9"/>
    <w:rsid w:val="0012181B"/>
    <w:rsid w:val="00162AEF"/>
    <w:rsid w:val="001C0F3E"/>
    <w:rsid w:val="001E684F"/>
    <w:rsid w:val="002357A0"/>
    <w:rsid w:val="00237B24"/>
    <w:rsid w:val="00260924"/>
    <w:rsid w:val="0029198F"/>
    <w:rsid w:val="0029322F"/>
    <w:rsid w:val="003010B2"/>
    <w:rsid w:val="003024EA"/>
    <w:rsid w:val="003C7E53"/>
    <w:rsid w:val="00422E45"/>
    <w:rsid w:val="00431B08"/>
    <w:rsid w:val="0045574D"/>
    <w:rsid w:val="00457F6F"/>
    <w:rsid w:val="00466FE2"/>
    <w:rsid w:val="00543BBD"/>
    <w:rsid w:val="00565190"/>
    <w:rsid w:val="0057730B"/>
    <w:rsid w:val="0058641C"/>
    <w:rsid w:val="005C2495"/>
    <w:rsid w:val="005C2E46"/>
    <w:rsid w:val="005C5AF8"/>
    <w:rsid w:val="005F03AF"/>
    <w:rsid w:val="00613921"/>
    <w:rsid w:val="00650E64"/>
    <w:rsid w:val="00682E62"/>
    <w:rsid w:val="006B50B1"/>
    <w:rsid w:val="006E4EE3"/>
    <w:rsid w:val="006E73AE"/>
    <w:rsid w:val="007070E6"/>
    <w:rsid w:val="0071255F"/>
    <w:rsid w:val="007420A1"/>
    <w:rsid w:val="0076277D"/>
    <w:rsid w:val="00767DDB"/>
    <w:rsid w:val="0077195F"/>
    <w:rsid w:val="00771CC1"/>
    <w:rsid w:val="007737A8"/>
    <w:rsid w:val="007C021B"/>
    <w:rsid w:val="007F2CAD"/>
    <w:rsid w:val="007F3D98"/>
    <w:rsid w:val="00811DFC"/>
    <w:rsid w:val="00866168"/>
    <w:rsid w:val="008A2B44"/>
    <w:rsid w:val="008F1F52"/>
    <w:rsid w:val="008F45F9"/>
    <w:rsid w:val="00931B97"/>
    <w:rsid w:val="00933B8A"/>
    <w:rsid w:val="00947FC4"/>
    <w:rsid w:val="00953850"/>
    <w:rsid w:val="00965347"/>
    <w:rsid w:val="00966604"/>
    <w:rsid w:val="0096728A"/>
    <w:rsid w:val="009B79A3"/>
    <w:rsid w:val="009D30A0"/>
    <w:rsid w:val="009F4EF3"/>
    <w:rsid w:val="009F7D33"/>
    <w:rsid w:val="00A227BB"/>
    <w:rsid w:val="00A87ACA"/>
    <w:rsid w:val="00AA018A"/>
    <w:rsid w:val="00AD13FF"/>
    <w:rsid w:val="00AF14BE"/>
    <w:rsid w:val="00B329CF"/>
    <w:rsid w:val="00B36DBC"/>
    <w:rsid w:val="00B72EA6"/>
    <w:rsid w:val="00B84FC0"/>
    <w:rsid w:val="00B9066C"/>
    <w:rsid w:val="00B93D72"/>
    <w:rsid w:val="00BC50EC"/>
    <w:rsid w:val="00BC5241"/>
    <w:rsid w:val="00BE0E9C"/>
    <w:rsid w:val="00BE4B1F"/>
    <w:rsid w:val="00C1142F"/>
    <w:rsid w:val="00C133C4"/>
    <w:rsid w:val="00C13C81"/>
    <w:rsid w:val="00C35BDB"/>
    <w:rsid w:val="00C4054A"/>
    <w:rsid w:val="00C42572"/>
    <w:rsid w:val="00C80AB4"/>
    <w:rsid w:val="00CC2593"/>
    <w:rsid w:val="00D51313"/>
    <w:rsid w:val="00D5434B"/>
    <w:rsid w:val="00D72CFD"/>
    <w:rsid w:val="00DB006B"/>
    <w:rsid w:val="00DD41C5"/>
    <w:rsid w:val="00DE5224"/>
    <w:rsid w:val="00E04BAE"/>
    <w:rsid w:val="00E95D5A"/>
    <w:rsid w:val="00EE062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3111</Words>
  <Characters>18355</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49</cp:revision>
  <cp:lastPrinted>2024-04-23T06:38:00Z</cp:lastPrinted>
  <dcterms:created xsi:type="dcterms:W3CDTF">2024-04-30T05:29:00Z</dcterms:created>
  <dcterms:modified xsi:type="dcterms:W3CDTF">2025-07-01T09:45:00Z</dcterms:modified>
</cp:coreProperties>
</file>