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6D0FDBDE" w:rsidR="00E95D5A" w:rsidRDefault="00285C99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299F">
        <w:rPr>
          <w:rFonts w:ascii="Arial" w:hAnsi="Arial" w:cs="Arial"/>
        </w:rPr>
        <w:t>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233CA864" w:rsidR="00A130E6" w:rsidRPr="00A130E6" w:rsidRDefault="00285C99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 w:rsidRPr="00285C99">
              <w:rPr>
                <w:rFonts w:cs="Calibri"/>
                <w:b/>
                <w:lang w:val="cs-CZ"/>
              </w:rPr>
              <w:t xml:space="preserve">Pardubice, </w:t>
            </w:r>
            <w:r w:rsidR="00426B8C">
              <w:rPr>
                <w:rFonts w:cs="Calibri"/>
                <w:b/>
                <w:lang w:val="cs-CZ"/>
              </w:rPr>
              <w:t>Popkovická – kanalizace IV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sectPr w:rsidR="00A8299F" w:rsidRPr="00E83AB2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86992"/>
    <w:rsid w:val="0009711F"/>
    <w:rsid w:val="000C1CC4"/>
    <w:rsid w:val="001C50D5"/>
    <w:rsid w:val="002357A0"/>
    <w:rsid w:val="00237B24"/>
    <w:rsid w:val="00240313"/>
    <w:rsid w:val="00285C99"/>
    <w:rsid w:val="002E6089"/>
    <w:rsid w:val="003010B2"/>
    <w:rsid w:val="003024EA"/>
    <w:rsid w:val="00361023"/>
    <w:rsid w:val="003C7E53"/>
    <w:rsid w:val="00426B8C"/>
    <w:rsid w:val="0045574D"/>
    <w:rsid w:val="005711CD"/>
    <w:rsid w:val="0057285F"/>
    <w:rsid w:val="005A5313"/>
    <w:rsid w:val="005C2CF7"/>
    <w:rsid w:val="005C2E46"/>
    <w:rsid w:val="006014A7"/>
    <w:rsid w:val="0061453C"/>
    <w:rsid w:val="00672DA0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41009"/>
    <w:rsid w:val="00866168"/>
    <w:rsid w:val="008F1F52"/>
    <w:rsid w:val="00947FC4"/>
    <w:rsid w:val="00985823"/>
    <w:rsid w:val="009D30A0"/>
    <w:rsid w:val="009F341D"/>
    <w:rsid w:val="00A130E6"/>
    <w:rsid w:val="00A227BB"/>
    <w:rsid w:val="00A42DA7"/>
    <w:rsid w:val="00A8299F"/>
    <w:rsid w:val="00AD13FF"/>
    <w:rsid w:val="00AF14BE"/>
    <w:rsid w:val="00B329CF"/>
    <w:rsid w:val="00B61352"/>
    <w:rsid w:val="00BB74C4"/>
    <w:rsid w:val="00BC50EC"/>
    <w:rsid w:val="00BE0E9C"/>
    <w:rsid w:val="00C40B71"/>
    <w:rsid w:val="00CE208A"/>
    <w:rsid w:val="00D10BFA"/>
    <w:rsid w:val="00DC02D6"/>
    <w:rsid w:val="00DF39F2"/>
    <w:rsid w:val="00DF6EF4"/>
    <w:rsid w:val="00E06175"/>
    <w:rsid w:val="00E16729"/>
    <w:rsid w:val="00E95D5A"/>
    <w:rsid w:val="00EC2476"/>
    <w:rsid w:val="00F92DAB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3925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23</cp:revision>
  <dcterms:created xsi:type="dcterms:W3CDTF">2024-03-25T06:23:00Z</dcterms:created>
  <dcterms:modified xsi:type="dcterms:W3CDTF">2025-07-18T06:56:00Z</dcterms:modified>
</cp:coreProperties>
</file>